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FD" w:rsidRDefault="00AF50FD" w:rsidP="00AF50FD">
      <w:pPr>
        <w:pStyle w:val="Default"/>
        <w:jc w:val="center"/>
        <w:rPr>
          <w:sz w:val="48"/>
          <w:szCs w:val="48"/>
        </w:rPr>
      </w:pPr>
    </w:p>
    <w:p w:rsidR="00AF50FD" w:rsidRDefault="00AF50FD" w:rsidP="00AF50FD">
      <w:pPr>
        <w:pStyle w:val="Default"/>
        <w:jc w:val="center"/>
        <w:rPr>
          <w:sz w:val="48"/>
          <w:szCs w:val="48"/>
        </w:rPr>
      </w:pPr>
    </w:p>
    <w:p w:rsidR="00AF50FD" w:rsidRDefault="00EE414F" w:rsidP="00AF50FD">
      <w:pPr>
        <w:pStyle w:val="Default"/>
        <w:jc w:val="center"/>
        <w:rPr>
          <w:sz w:val="48"/>
          <w:szCs w:val="48"/>
        </w:rPr>
      </w:pPr>
      <w:r>
        <w:rPr>
          <w:noProof/>
          <w:sz w:val="48"/>
          <w:szCs w:val="48"/>
          <w:lang w:eastAsia="en-GB"/>
        </w:rPr>
        <w:drawing>
          <wp:inline distT="0" distB="0" distL="0" distR="0" wp14:anchorId="672528CA" wp14:editId="179AB742">
            <wp:extent cx="3761740" cy="10788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1740" cy="1078865"/>
                    </a:xfrm>
                    <a:prstGeom prst="rect">
                      <a:avLst/>
                    </a:prstGeom>
                    <a:noFill/>
                  </pic:spPr>
                </pic:pic>
              </a:graphicData>
            </a:graphic>
          </wp:inline>
        </w:drawing>
      </w:r>
    </w:p>
    <w:p w:rsidR="00AF50FD" w:rsidRDefault="00AF50FD" w:rsidP="00AF50FD">
      <w:pPr>
        <w:pStyle w:val="Default"/>
        <w:jc w:val="center"/>
        <w:rPr>
          <w:sz w:val="48"/>
          <w:szCs w:val="48"/>
        </w:rPr>
      </w:pPr>
    </w:p>
    <w:p w:rsidR="003B3E09" w:rsidRDefault="003B3E09" w:rsidP="00AF50FD">
      <w:pPr>
        <w:pStyle w:val="Default"/>
        <w:jc w:val="center"/>
        <w:rPr>
          <w:sz w:val="48"/>
          <w:szCs w:val="48"/>
        </w:rPr>
      </w:pPr>
    </w:p>
    <w:p w:rsidR="00AF50FD" w:rsidRDefault="00AF50FD" w:rsidP="00AF50FD">
      <w:pPr>
        <w:pStyle w:val="Default"/>
        <w:jc w:val="center"/>
        <w:rPr>
          <w:sz w:val="48"/>
          <w:szCs w:val="48"/>
        </w:rPr>
      </w:pPr>
      <w:r>
        <w:rPr>
          <w:sz w:val="48"/>
          <w:szCs w:val="48"/>
        </w:rPr>
        <w:t>Community Governance Review</w:t>
      </w:r>
    </w:p>
    <w:p w:rsidR="00AF50FD" w:rsidRDefault="00AF50FD" w:rsidP="00AF50FD">
      <w:pPr>
        <w:pStyle w:val="Default"/>
        <w:jc w:val="center"/>
        <w:rPr>
          <w:sz w:val="48"/>
          <w:szCs w:val="48"/>
        </w:rPr>
      </w:pPr>
    </w:p>
    <w:p w:rsidR="00AF50FD" w:rsidRDefault="00AF50FD" w:rsidP="00AF50FD">
      <w:pPr>
        <w:pStyle w:val="Default"/>
        <w:jc w:val="center"/>
        <w:rPr>
          <w:sz w:val="48"/>
          <w:szCs w:val="48"/>
        </w:rPr>
      </w:pPr>
      <w:r>
        <w:rPr>
          <w:sz w:val="48"/>
          <w:szCs w:val="48"/>
        </w:rPr>
        <w:t>Littleton and Harestock</w:t>
      </w:r>
    </w:p>
    <w:p w:rsidR="00AF50FD" w:rsidRDefault="00AF50FD" w:rsidP="00AF50FD">
      <w:pPr>
        <w:pStyle w:val="Default"/>
        <w:jc w:val="center"/>
        <w:rPr>
          <w:sz w:val="48"/>
          <w:szCs w:val="48"/>
        </w:rPr>
      </w:pPr>
      <w:r>
        <w:rPr>
          <w:sz w:val="48"/>
          <w:szCs w:val="48"/>
        </w:rPr>
        <w:t>Parish Council</w:t>
      </w:r>
    </w:p>
    <w:p w:rsidR="00AF50FD" w:rsidRDefault="00AF50FD" w:rsidP="00AF50FD">
      <w:pPr>
        <w:pStyle w:val="Default"/>
        <w:jc w:val="center"/>
        <w:rPr>
          <w:sz w:val="48"/>
          <w:szCs w:val="48"/>
        </w:rPr>
      </w:pPr>
    </w:p>
    <w:p w:rsidR="00AF50FD" w:rsidRDefault="00AF50FD" w:rsidP="00AF50FD">
      <w:pPr>
        <w:pStyle w:val="Default"/>
        <w:jc w:val="center"/>
        <w:rPr>
          <w:sz w:val="48"/>
          <w:szCs w:val="48"/>
        </w:rPr>
      </w:pPr>
      <w:r>
        <w:rPr>
          <w:sz w:val="48"/>
          <w:szCs w:val="48"/>
        </w:rPr>
        <w:t>Local Government and Public Involvement</w:t>
      </w:r>
    </w:p>
    <w:p w:rsidR="00AF50FD" w:rsidRDefault="00AF50FD" w:rsidP="00AF50FD">
      <w:pPr>
        <w:pStyle w:val="Default"/>
        <w:jc w:val="center"/>
        <w:rPr>
          <w:sz w:val="48"/>
          <w:szCs w:val="48"/>
        </w:rPr>
      </w:pPr>
      <w:proofErr w:type="gramStart"/>
      <w:r>
        <w:rPr>
          <w:sz w:val="48"/>
          <w:szCs w:val="48"/>
        </w:rPr>
        <w:t>in</w:t>
      </w:r>
      <w:proofErr w:type="gramEnd"/>
      <w:r>
        <w:rPr>
          <w:sz w:val="48"/>
          <w:szCs w:val="48"/>
        </w:rPr>
        <w:t xml:space="preserve"> Health Act 2007</w:t>
      </w:r>
    </w:p>
    <w:p w:rsidR="00AF50FD" w:rsidRDefault="00AF50FD" w:rsidP="00AF50FD">
      <w:pPr>
        <w:pStyle w:val="Default"/>
        <w:jc w:val="center"/>
        <w:rPr>
          <w:b/>
          <w:bCs/>
          <w:sz w:val="52"/>
          <w:szCs w:val="52"/>
        </w:rPr>
      </w:pPr>
    </w:p>
    <w:p w:rsidR="00AF50FD" w:rsidRDefault="00AF50FD" w:rsidP="00AF50FD">
      <w:pPr>
        <w:pStyle w:val="Default"/>
        <w:jc w:val="center"/>
        <w:rPr>
          <w:b/>
          <w:bCs/>
          <w:sz w:val="52"/>
          <w:szCs w:val="52"/>
        </w:rPr>
      </w:pPr>
      <w:r>
        <w:rPr>
          <w:b/>
          <w:bCs/>
          <w:sz w:val="52"/>
          <w:szCs w:val="52"/>
        </w:rPr>
        <w:t>Terms of Reference</w:t>
      </w:r>
    </w:p>
    <w:p w:rsidR="00AF50FD" w:rsidRDefault="00AF50FD" w:rsidP="00AF50FD">
      <w:pPr>
        <w:pStyle w:val="Default"/>
        <w:jc w:val="center"/>
        <w:rPr>
          <w:b/>
          <w:bCs/>
          <w:sz w:val="52"/>
          <w:szCs w:val="52"/>
        </w:rPr>
      </w:pPr>
    </w:p>
    <w:p w:rsidR="00BB178A" w:rsidRDefault="00BB178A">
      <w:pPr>
        <w:rPr>
          <w:rFonts w:ascii="Arial" w:hAnsi="Arial" w:cs="Arial"/>
          <w:b/>
          <w:color w:val="000000"/>
          <w:sz w:val="24"/>
          <w:szCs w:val="24"/>
        </w:rPr>
      </w:pPr>
      <w:r>
        <w:rPr>
          <w:b/>
        </w:rPr>
        <w:br w:type="page"/>
      </w:r>
    </w:p>
    <w:p w:rsidR="00BB178A" w:rsidRPr="00F44FA3" w:rsidRDefault="00BB178A" w:rsidP="00BB178A">
      <w:pPr>
        <w:pStyle w:val="Default"/>
        <w:rPr>
          <w:b/>
        </w:rPr>
      </w:pPr>
      <w:r w:rsidRPr="00F44FA3">
        <w:rPr>
          <w:b/>
        </w:rPr>
        <w:lastRenderedPageBreak/>
        <w:t>Community Governance Review</w:t>
      </w:r>
    </w:p>
    <w:p w:rsidR="00BB178A" w:rsidRPr="00F44FA3" w:rsidRDefault="00BB178A" w:rsidP="00BB178A">
      <w:pPr>
        <w:pStyle w:val="Default"/>
        <w:rPr>
          <w:b/>
        </w:rPr>
      </w:pPr>
    </w:p>
    <w:p w:rsidR="00BB178A" w:rsidRPr="00F44FA3" w:rsidRDefault="00BB178A" w:rsidP="00BB178A">
      <w:pPr>
        <w:pStyle w:val="Default"/>
        <w:rPr>
          <w:b/>
        </w:rPr>
      </w:pPr>
      <w:r>
        <w:rPr>
          <w:b/>
        </w:rPr>
        <w:t>Littleton &amp; Harestock Parish Council</w:t>
      </w:r>
    </w:p>
    <w:p w:rsidR="00BB178A" w:rsidRPr="00F44FA3" w:rsidRDefault="00BB178A" w:rsidP="00BB178A">
      <w:pPr>
        <w:pStyle w:val="Default"/>
        <w:rPr>
          <w:b/>
        </w:rPr>
      </w:pPr>
    </w:p>
    <w:p w:rsidR="00BB178A" w:rsidRPr="00F44FA3" w:rsidRDefault="00BB178A" w:rsidP="00BB178A">
      <w:pPr>
        <w:pStyle w:val="Default"/>
        <w:rPr>
          <w:b/>
        </w:rPr>
      </w:pPr>
      <w:r w:rsidRPr="00F44FA3">
        <w:rPr>
          <w:b/>
        </w:rPr>
        <w:t>Local Government and Public Involvement</w:t>
      </w:r>
      <w:r>
        <w:rPr>
          <w:b/>
        </w:rPr>
        <w:t xml:space="preserve"> </w:t>
      </w:r>
      <w:r w:rsidRPr="00F44FA3">
        <w:rPr>
          <w:b/>
        </w:rPr>
        <w:t>in Health Act 2007</w:t>
      </w:r>
    </w:p>
    <w:p w:rsidR="00BB178A" w:rsidRPr="00F44FA3" w:rsidRDefault="00BB178A" w:rsidP="00BB178A">
      <w:pPr>
        <w:pStyle w:val="Default"/>
        <w:rPr>
          <w:b/>
          <w:bCs/>
        </w:rPr>
      </w:pPr>
    </w:p>
    <w:p w:rsidR="00BB178A" w:rsidRDefault="00BB178A" w:rsidP="00BB178A">
      <w:pPr>
        <w:pStyle w:val="Default"/>
        <w:rPr>
          <w:b/>
          <w:bCs/>
        </w:rPr>
      </w:pPr>
      <w:r w:rsidRPr="00F44FA3">
        <w:rPr>
          <w:b/>
          <w:bCs/>
        </w:rPr>
        <w:t>Terms of Reference</w:t>
      </w:r>
    </w:p>
    <w:p w:rsidR="00BB178A" w:rsidRDefault="00BB178A" w:rsidP="00BB178A">
      <w:pPr>
        <w:pStyle w:val="Default"/>
        <w:rPr>
          <w:b/>
          <w:bCs/>
        </w:rPr>
      </w:pPr>
    </w:p>
    <w:p w:rsidR="00AF50FD" w:rsidRPr="003B3E09" w:rsidRDefault="00AF50FD" w:rsidP="003B3E09">
      <w:pPr>
        <w:pStyle w:val="Default"/>
        <w:rPr>
          <w:b/>
          <w:bCs/>
        </w:rPr>
      </w:pPr>
    </w:p>
    <w:p w:rsidR="00AF50FD" w:rsidRDefault="00AF50FD" w:rsidP="00971A9E">
      <w:pPr>
        <w:pStyle w:val="Default"/>
        <w:numPr>
          <w:ilvl w:val="1"/>
          <w:numId w:val="3"/>
        </w:numPr>
        <w:rPr>
          <w:b/>
          <w:bCs/>
        </w:rPr>
      </w:pPr>
      <w:r w:rsidRPr="003B3E09">
        <w:rPr>
          <w:b/>
          <w:bCs/>
        </w:rPr>
        <w:t xml:space="preserve">Aim of Review </w:t>
      </w:r>
    </w:p>
    <w:p w:rsidR="00971A9E" w:rsidRPr="003B3E09" w:rsidRDefault="00971A9E" w:rsidP="00971A9E">
      <w:pPr>
        <w:pStyle w:val="Default"/>
        <w:ind w:left="405"/>
      </w:pPr>
    </w:p>
    <w:p w:rsidR="00AF50FD" w:rsidRPr="003B3E09" w:rsidRDefault="00AF50FD" w:rsidP="003B3E09">
      <w:pPr>
        <w:pStyle w:val="Default"/>
      </w:pPr>
      <w:r w:rsidRPr="003B3E09">
        <w:t xml:space="preserve">This review will ascertain whether governance for the residents of </w:t>
      </w:r>
      <w:r w:rsidR="005C7B97">
        <w:t>Littleton and Harestock P</w:t>
      </w:r>
      <w:r w:rsidRPr="003B3E09">
        <w:t>arish Council, within the Winchester City Council boundary, would be best served by splitting the current parish council into two separate Parish Councils</w:t>
      </w:r>
      <w:r w:rsidR="00596AFA" w:rsidRPr="003B3E09">
        <w:t xml:space="preserve"> or other arrangements</w:t>
      </w:r>
      <w:r w:rsidRPr="003B3E09">
        <w:t xml:space="preserve">. </w:t>
      </w:r>
    </w:p>
    <w:p w:rsidR="00971A9E" w:rsidRPr="003B3E09" w:rsidRDefault="00971A9E" w:rsidP="003B3E09">
      <w:pPr>
        <w:pStyle w:val="Default"/>
        <w:rPr>
          <w:b/>
          <w:bCs/>
        </w:rPr>
      </w:pPr>
    </w:p>
    <w:p w:rsidR="00AF50FD" w:rsidRDefault="00AF50FD" w:rsidP="00971A9E">
      <w:pPr>
        <w:pStyle w:val="Default"/>
        <w:numPr>
          <w:ilvl w:val="1"/>
          <w:numId w:val="3"/>
        </w:numPr>
        <w:rPr>
          <w:b/>
          <w:bCs/>
        </w:rPr>
      </w:pPr>
      <w:r w:rsidRPr="003B3E09">
        <w:rPr>
          <w:b/>
          <w:bCs/>
        </w:rPr>
        <w:t xml:space="preserve">Why undertake a Community Governance Review? </w:t>
      </w:r>
    </w:p>
    <w:p w:rsidR="00971A9E" w:rsidRPr="003B3E09" w:rsidRDefault="00971A9E" w:rsidP="00971A9E">
      <w:pPr>
        <w:pStyle w:val="Default"/>
        <w:ind w:left="405"/>
      </w:pPr>
    </w:p>
    <w:p w:rsidR="00AF50FD" w:rsidRPr="003B3E09" w:rsidRDefault="005C7B97" w:rsidP="003B3E09">
      <w:pPr>
        <w:pStyle w:val="Default"/>
      </w:pPr>
      <w:r>
        <w:t xml:space="preserve">Littleton &amp; Harestock Parish Council has made </w:t>
      </w:r>
      <w:r w:rsidR="000F0817">
        <w:t xml:space="preserve">a </w:t>
      </w:r>
      <w:r>
        <w:t xml:space="preserve">representation to Winchester City Council requesting that a Community Governance Review be undertaken </w:t>
      </w:r>
      <w:proofErr w:type="gramStart"/>
      <w:r>
        <w:t>“ to</w:t>
      </w:r>
      <w:proofErr w:type="gramEnd"/>
      <w:r>
        <w:t xml:space="preserve"> put in place strong boundaries and structures for </w:t>
      </w:r>
      <w:r w:rsidR="000F0817">
        <w:t xml:space="preserve">the </w:t>
      </w:r>
      <w:r>
        <w:t xml:space="preserve">two very distinct and separate areas of Harestock and Littleton”. </w:t>
      </w:r>
      <w:r w:rsidR="00AF50FD" w:rsidRPr="003B3E09">
        <w:t xml:space="preserve">A Community Governance Review provides an opportunity for making recommendations with regards to establishing, aggregating, amalgamating or separating parishes, the name and style of a new parish and electoral arrangements. </w:t>
      </w:r>
    </w:p>
    <w:p w:rsidR="00596AFA" w:rsidRPr="003B3E09" w:rsidRDefault="00596AFA" w:rsidP="003B3E09">
      <w:pPr>
        <w:pStyle w:val="Default"/>
      </w:pPr>
    </w:p>
    <w:p w:rsidR="00AF50FD" w:rsidRPr="003B3E09" w:rsidRDefault="00BB178A" w:rsidP="003B3E09">
      <w:pPr>
        <w:pStyle w:val="Default"/>
      </w:pPr>
      <w:r>
        <w:t xml:space="preserve">Through its meeting of its Licensing and Regulatory Committee on 21 February 2018, </w:t>
      </w:r>
      <w:r w:rsidR="00AF50FD" w:rsidRPr="003B3E09">
        <w:t xml:space="preserve">Winchester City Council has </w:t>
      </w:r>
      <w:r w:rsidR="000F0817">
        <w:t xml:space="preserve">therefore </w:t>
      </w:r>
      <w:r w:rsidR="00AF50FD" w:rsidRPr="003B3E09">
        <w:t xml:space="preserve">resolved to undertake a Community Governance Review pursuant to Part 4 of the Local Government and Public Involvement in Health Act 2007. </w:t>
      </w:r>
    </w:p>
    <w:p w:rsidR="00AF50FD" w:rsidRPr="003B3E09" w:rsidRDefault="00AF50FD" w:rsidP="003B3E09">
      <w:pPr>
        <w:pStyle w:val="Default"/>
        <w:rPr>
          <w:b/>
          <w:bCs/>
        </w:rPr>
      </w:pPr>
    </w:p>
    <w:p w:rsidR="00AF50FD" w:rsidRDefault="00AF50FD" w:rsidP="00971A9E">
      <w:pPr>
        <w:pStyle w:val="Default"/>
        <w:numPr>
          <w:ilvl w:val="1"/>
          <w:numId w:val="3"/>
        </w:numPr>
        <w:rPr>
          <w:b/>
          <w:bCs/>
        </w:rPr>
      </w:pPr>
      <w:r w:rsidRPr="003B3E09">
        <w:rPr>
          <w:b/>
          <w:bCs/>
        </w:rPr>
        <w:t xml:space="preserve">Scope of the Review </w:t>
      </w:r>
    </w:p>
    <w:p w:rsidR="00971A9E" w:rsidRPr="003B3E09" w:rsidRDefault="00971A9E" w:rsidP="00971A9E">
      <w:pPr>
        <w:pStyle w:val="Default"/>
        <w:ind w:left="405"/>
      </w:pPr>
    </w:p>
    <w:p w:rsidR="00AF50FD" w:rsidRPr="003B3E09" w:rsidRDefault="00AF50FD" w:rsidP="003B3E09">
      <w:pPr>
        <w:pStyle w:val="Default"/>
      </w:pPr>
      <w:r w:rsidRPr="003B3E09">
        <w:t xml:space="preserve">The review will specifically consider the composition and electoral arrangements of the residents living within the boundary of Littleton and Harestock Parish Council. </w:t>
      </w:r>
    </w:p>
    <w:p w:rsidR="00AF50FD" w:rsidRPr="003B3E09" w:rsidRDefault="00AF50FD" w:rsidP="003B3E09">
      <w:pPr>
        <w:pStyle w:val="Default"/>
        <w:rPr>
          <w:b/>
          <w:bCs/>
        </w:rPr>
      </w:pPr>
    </w:p>
    <w:p w:rsidR="00AF50FD" w:rsidRDefault="00AF50FD" w:rsidP="00971A9E">
      <w:pPr>
        <w:pStyle w:val="Default"/>
        <w:numPr>
          <w:ilvl w:val="1"/>
          <w:numId w:val="3"/>
        </w:numPr>
        <w:rPr>
          <w:b/>
          <w:bCs/>
        </w:rPr>
      </w:pPr>
      <w:r w:rsidRPr="003B3E09">
        <w:rPr>
          <w:b/>
          <w:bCs/>
        </w:rPr>
        <w:t xml:space="preserve">Who will undertake the Community Governance Review? </w:t>
      </w:r>
    </w:p>
    <w:p w:rsidR="00971A9E" w:rsidRPr="003B3E09" w:rsidRDefault="00971A9E" w:rsidP="00971A9E">
      <w:pPr>
        <w:pStyle w:val="Default"/>
        <w:ind w:left="405"/>
      </w:pPr>
    </w:p>
    <w:p w:rsidR="00AF50FD" w:rsidRPr="003B3E09" w:rsidRDefault="00AF50FD" w:rsidP="003B3E09">
      <w:pPr>
        <w:pStyle w:val="Default"/>
      </w:pPr>
      <w:r w:rsidRPr="003B3E09">
        <w:t xml:space="preserve">Winchester City Council is responsible for undertaking a Community Governance Review within its electoral area. The City Council is responsible for overseeing this process and officers will produce draft and final recommendations for consideration by the Licensing and Regulation Committee before any Order is made. Any final Order must be made by Full Council. </w:t>
      </w:r>
    </w:p>
    <w:p w:rsidR="00AF50FD" w:rsidRPr="003B3E09" w:rsidRDefault="00AF50FD" w:rsidP="003B3E09">
      <w:pPr>
        <w:pStyle w:val="Default"/>
        <w:rPr>
          <w:b/>
          <w:bCs/>
        </w:rPr>
      </w:pPr>
    </w:p>
    <w:p w:rsidR="00971A9E" w:rsidRDefault="00AF50FD" w:rsidP="00971A9E">
      <w:pPr>
        <w:pStyle w:val="Default"/>
        <w:numPr>
          <w:ilvl w:val="1"/>
          <w:numId w:val="3"/>
        </w:numPr>
        <w:rPr>
          <w:b/>
          <w:bCs/>
        </w:rPr>
      </w:pPr>
      <w:r w:rsidRPr="003B3E09">
        <w:rPr>
          <w:b/>
          <w:bCs/>
        </w:rPr>
        <w:t xml:space="preserve">How long will the Community Governance Review take? </w:t>
      </w:r>
    </w:p>
    <w:p w:rsidR="00971A9E" w:rsidRPr="00971A9E" w:rsidRDefault="00971A9E" w:rsidP="00971A9E">
      <w:pPr>
        <w:pStyle w:val="Default"/>
        <w:ind w:left="405"/>
        <w:rPr>
          <w:b/>
          <w:bCs/>
        </w:rPr>
      </w:pPr>
    </w:p>
    <w:p w:rsidR="00AF50FD" w:rsidRPr="003B3E09" w:rsidRDefault="00AF50FD" w:rsidP="003B3E09">
      <w:pPr>
        <w:pStyle w:val="Default"/>
      </w:pPr>
      <w:r w:rsidRPr="003B3E09">
        <w:t xml:space="preserve">If an order is made, this will be done at the end of the year. There are various steps and consultation exercises to be undertaken between now and then and these are outlined in the timetable below. </w:t>
      </w:r>
    </w:p>
    <w:p w:rsidR="00AF50FD" w:rsidRPr="003B3E09" w:rsidRDefault="00AF50FD" w:rsidP="003B3E09">
      <w:pPr>
        <w:spacing w:after="0" w:line="240" w:lineRule="auto"/>
        <w:rPr>
          <w:rFonts w:ascii="Arial" w:hAnsi="Arial" w:cs="Arial"/>
          <w:b/>
          <w:sz w:val="24"/>
          <w:szCs w:val="24"/>
        </w:rPr>
      </w:pPr>
    </w:p>
    <w:p w:rsidR="00971A9E" w:rsidRDefault="00971A9E" w:rsidP="003B3E09">
      <w:pPr>
        <w:spacing w:after="0" w:line="240" w:lineRule="auto"/>
        <w:rPr>
          <w:rFonts w:ascii="Arial" w:hAnsi="Arial" w:cs="Arial"/>
          <w:b/>
          <w:sz w:val="24"/>
          <w:szCs w:val="24"/>
        </w:rPr>
      </w:pPr>
    </w:p>
    <w:p w:rsidR="00971A9E" w:rsidRDefault="00971A9E" w:rsidP="003B3E09">
      <w:pPr>
        <w:spacing w:after="0" w:line="240" w:lineRule="auto"/>
        <w:rPr>
          <w:rFonts w:ascii="Arial" w:hAnsi="Arial" w:cs="Arial"/>
          <w:b/>
          <w:sz w:val="24"/>
          <w:szCs w:val="24"/>
        </w:rPr>
      </w:pPr>
    </w:p>
    <w:p w:rsidR="00971A9E" w:rsidRDefault="00971A9E" w:rsidP="003B3E09">
      <w:pPr>
        <w:spacing w:after="0" w:line="240" w:lineRule="auto"/>
        <w:rPr>
          <w:rFonts w:ascii="Arial" w:hAnsi="Arial" w:cs="Arial"/>
          <w:b/>
          <w:sz w:val="24"/>
          <w:szCs w:val="24"/>
        </w:rPr>
      </w:pPr>
    </w:p>
    <w:p w:rsidR="00AF50FD" w:rsidRPr="00971A9E" w:rsidRDefault="00AF50FD" w:rsidP="00971A9E">
      <w:pPr>
        <w:pStyle w:val="ListParagraph"/>
        <w:numPr>
          <w:ilvl w:val="1"/>
          <w:numId w:val="3"/>
        </w:numPr>
        <w:spacing w:after="0" w:line="240" w:lineRule="auto"/>
        <w:rPr>
          <w:rFonts w:ascii="Arial" w:hAnsi="Arial" w:cs="Arial"/>
          <w:b/>
          <w:sz w:val="24"/>
          <w:szCs w:val="24"/>
        </w:rPr>
      </w:pPr>
      <w:r w:rsidRPr="00971A9E">
        <w:rPr>
          <w:rFonts w:ascii="Arial" w:hAnsi="Arial" w:cs="Arial"/>
          <w:b/>
          <w:sz w:val="24"/>
          <w:szCs w:val="24"/>
        </w:rPr>
        <w:t>Timetable for the review</w:t>
      </w:r>
    </w:p>
    <w:p w:rsidR="00971A9E" w:rsidRPr="00971A9E" w:rsidRDefault="00971A9E" w:rsidP="00971A9E">
      <w:pPr>
        <w:pStyle w:val="ListParagraph"/>
        <w:spacing w:after="0" w:line="240" w:lineRule="auto"/>
        <w:ind w:left="405"/>
        <w:rPr>
          <w:rFonts w:ascii="Arial" w:hAnsi="Arial" w:cs="Arial"/>
          <w:b/>
          <w:sz w:val="24"/>
          <w:szCs w:val="24"/>
        </w:rPr>
      </w:pPr>
    </w:p>
    <w:tbl>
      <w:tblPr>
        <w:tblStyle w:val="TableGrid"/>
        <w:tblW w:w="0" w:type="auto"/>
        <w:tblLook w:val="04A0" w:firstRow="1" w:lastRow="0" w:firstColumn="1" w:lastColumn="0" w:noHBand="0" w:noVBand="1"/>
      </w:tblPr>
      <w:tblGrid>
        <w:gridCol w:w="1977"/>
        <w:gridCol w:w="3638"/>
        <w:gridCol w:w="1511"/>
        <w:gridCol w:w="2197"/>
      </w:tblGrid>
      <w:tr w:rsidR="00AF50FD" w:rsidRPr="003B3E09" w:rsidTr="00AF50FD">
        <w:tc>
          <w:tcPr>
            <w:tcW w:w="1977" w:type="dxa"/>
          </w:tcPr>
          <w:p w:rsidR="00AF50FD" w:rsidRPr="003B3E09" w:rsidRDefault="00AF50FD" w:rsidP="003B3E09">
            <w:pPr>
              <w:rPr>
                <w:rFonts w:ascii="Arial" w:hAnsi="Arial" w:cs="Arial"/>
                <w:b/>
                <w:sz w:val="24"/>
                <w:szCs w:val="24"/>
              </w:rPr>
            </w:pPr>
            <w:r w:rsidRPr="003B3E09">
              <w:rPr>
                <w:rFonts w:ascii="Arial" w:hAnsi="Arial" w:cs="Arial"/>
                <w:b/>
                <w:sz w:val="24"/>
                <w:szCs w:val="24"/>
              </w:rPr>
              <w:t>Stage</w:t>
            </w:r>
          </w:p>
          <w:p w:rsidR="00AF50FD" w:rsidRPr="003B3E09" w:rsidRDefault="00AF50FD" w:rsidP="003B3E09">
            <w:pPr>
              <w:rPr>
                <w:rFonts w:ascii="Arial" w:hAnsi="Arial" w:cs="Arial"/>
                <w:b/>
                <w:sz w:val="24"/>
                <w:szCs w:val="24"/>
              </w:rPr>
            </w:pPr>
          </w:p>
        </w:tc>
        <w:tc>
          <w:tcPr>
            <w:tcW w:w="3638" w:type="dxa"/>
          </w:tcPr>
          <w:p w:rsidR="00AF50FD" w:rsidRPr="003B3E09" w:rsidRDefault="00AF50FD" w:rsidP="003B3E09">
            <w:pPr>
              <w:rPr>
                <w:rFonts w:ascii="Arial" w:hAnsi="Arial" w:cs="Arial"/>
                <w:b/>
                <w:sz w:val="24"/>
                <w:szCs w:val="24"/>
              </w:rPr>
            </w:pPr>
            <w:r w:rsidRPr="003B3E09">
              <w:rPr>
                <w:rFonts w:ascii="Arial" w:hAnsi="Arial" w:cs="Arial"/>
                <w:b/>
                <w:sz w:val="24"/>
                <w:szCs w:val="24"/>
              </w:rPr>
              <w:t>What happens?</w:t>
            </w:r>
          </w:p>
          <w:p w:rsidR="00AF50FD" w:rsidRPr="003B3E09" w:rsidRDefault="00AF50FD" w:rsidP="003B3E09">
            <w:pPr>
              <w:rPr>
                <w:rFonts w:ascii="Arial" w:hAnsi="Arial" w:cs="Arial"/>
                <w:b/>
                <w:sz w:val="24"/>
                <w:szCs w:val="24"/>
              </w:rPr>
            </w:pPr>
          </w:p>
        </w:tc>
        <w:tc>
          <w:tcPr>
            <w:tcW w:w="1430" w:type="dxa"/>
          </w:tcPr>
          <w:p w:rsidR="00AF50FD" w:rsidRPr="003B3E09" w:rsidRDefault="00AF50FD" w:rsidP="003B3E09">
            <w:pPr>
              <w:rPr>
                <w:rFonts w:ascii="Arial" w:hAnsi="Arial" w:cs="Arial"/>
                <w:b/>
                <w:sz w:val="24"/>
                <w:szCs w:val="24"/>
              </w:rPr>
            </w:pPr>
            <w:r w:rsidRPr="003B3E09">
              <w:rPr>
                <w:rFonts w:ascii="Arial" w:hAnsi="Arial" w:cs="Arial"/>
                <w:b/>
                <w:sz w:val="24"/>
                <w:szCs w:val="24"/>
              </w:rPr>
              <w:t>Timescales</w:t>
            </w:r>
          </w:p>
          <w:p w:rsidR="00AF50FD" w:rsidRPr="003B3E09" w:rsidRDefault="00AF50FD" w:rsidP="003B3E09">
            <w:pPr>
              <w:rPr>
                <w:rFonts w:ascii="Arial" w:hAnsi="Arial" w:cs="Arial"/>
                <w:b/>
                <w:sz w:val="24"/>
                <w:szCs w:val="24"/>
              </w:rPr>
            </w:pPr>
          </w:p>
        </w:tc>
        <w:tc>
          <w:tcPr>
            <w:tcW w:w="2197" w:type="dxa"/>
          </w:tcPr>
          <w:p w:rsidR="00AF50FD" w:rsidRPr="003B3E09" w:rsidRDefault="00AF50FD" w:rsidP="003B3E09">
            <w:pPr>
              <w:rPr>
                <w:rFonts w:ascii="Arial" w:hAnsi="Arial" w:cs="Arial"/>
                <w:b/>
                <w:sz w:val="24"/>
                <w:szCs w:val="24"/>
              </w:rPr>
            </w:pPr>
            <w:r w:rsidRPr="003B3E09">
              <w:rPr>
                <w:rFonts w:ascii="Arial" w:hAnsi="Arial" w:cs="Arial"/>
                <w:b/>
                <w:sz w:val="24"/>
                <w:szCs w:val="24"/>
              </w:rPr>
              <w:t>Indicative dates</w:t>
            </w:r>
          </w:p>
          <w:p w:rsidR="00AF50FD" w:rsidRPr="003B3E09" w:rsidRDefault="00AF50FD" w:rsidP="003B3E09">
            <w:pPr>
              <w:rPr>
                <w:rFonts w:ascii="Arial" w:hAnsi="Arial" w:cs="Arial"/>
                <w:b/>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Commencement</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Parishes/Ward/Officer check</w:t>
            </w:r>
          </w:p>
          <w:p w:rsidR="00AF50FD" w:rsidRPr="003B3E09" w:rsidRDefault="00AF50FD" w:rsidP="003B3E09">
            <w:pPr>
              <w:rPr>
                <w:rFonts w:ascii="Arial" w:hAnsi="Arial" w:cs="Arial"/>
                <w:sz w:val="24"/>
                <w:szCs w:val="24"/>
              </w:rPr>
            </w:pPr>
          </w:p>
        </w:tc>
        <w:tc>
          <w:tcPr>
            <w:tcW w:w="1430" w:type="dxa"/>
          </w:tcPr>
          <w:p w:rsidR="00AF50FD" w:rsidRPr="003B3E09" w:rsidRDefault="00AF50FD" w:rsidP="003B3E09">
            <w:pPr>
              <w:rPr>
                <w:rFonts w:ascii="Arial" w:hAnsi="Arial" w:cs="Arial"/>
                <w:sz w:val="24"/>
                <w:szCs w:val="24"/>
              </w:rPr>
            </w:pPr>
            <w:r w:rsidRPr="003B3E09">
              <w:rPr>
                <w:rFonts w:ascii="Arial" w:hAnsi="Arial" w:cs="Arial"/>
                <w:sz w:val="24"/>
                <w:szCs w:val="24"/>
              </w:rPr>
              <w:t>December 2017</w:t>
            </w:r>
          </w:p>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Preparation</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Desk research and information gathering (extensive); delegations and authorities identified and Terms of Reference for the review are prepared and published. Consultations are prepared.</w:t>
            </w:r>
          </w:p>
          <w:p w:rsidR="00AF50FD" w:rsidRPr="003B3E09" w:rsidRDefault="00AF50FD" w:rsidP="003B3E09">
            <w:pPr>
              <w:rPr>
                <w:rFonts w:ascii="Arial" w:hAnsi="Arial" w:cs="Arial"/>
                <w:sz w:val="24"/>
                <w:szCs w:val="24"/>
              </w:rPr>
            </w:pPr>
          </w:p>
          <w:p w:rsidR="00AF50FD" w:rsidRPr="003B3E09" w:rsidRDefault="00AF50FD" w:rsidP="003B3E09">
            <w:pPr>
              <w:rPr>
                <w:rFonts w:ascii="Arial" w:hAnsi="Arial" w:cs="Arial"/>
                <w:sz w:val="24"/>
                <w:szCs w:val="24"/>
              </w:rPr>
            </w:pPr>
          </w:p>
        </w:tc>
        <w:tc>
          <w:tcPr>
            <w:tcW w:w="1430" w:type="dxa"/>
          </w:tcPr>
          <w:p w:rsidR="00AF50FD" w:rsidRPr="003B3E09" w:rsidRDefault="00AF50FD" w:rsidP="003B3E09">
            <w:pPr>
              <w:rPr>
                <w:rFonts w:ascii="Arial" w:hAnsi="Arial" w:cs="Arial"/>
                <w:sz w:val="24"/>
                <w:szCs w:val="24"/>
              </w:rPr>
            </w:pPr>
            <w:r w:rsidRPr="003B3E09">
              <w:rPr>
                <w:rFonts w:ascii="Arial" w:hAnsi="Arial" w:cs="Arial"/>
                <w:sz w:val="24"/>
                <w:szCs w:val="24"/>
              </w:rPr>
              <w:t>3 months</w:t>
            </w:r>
          </w:p>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r w:rsidRPr="003B3E09">
              <w:rPr>
                <w:rFonts w:ascii="Arial" w:hAnsi="Arial" w:cs="Arial"/>
                <w:sz w:val="24"/>
                <w:szCs w:val="24"/>
              </w:rPr>
              <w:t xml:space="preserve">December – </w:t>
            </w:r>
            <w:r w:rsidR="00236F67">
              <w:rPr>
                <w:rFonts w:ascii="Arial" w:hAnsi="Arial" w:cs="Arial"/>
                <w:sz w:val="24"/>
                <w:szCs w:val="24"/>
              </w:rPr>
              <w:t>April</w:t>
            </w:r>
            <w:r w:rsidRPr="003B3E09">
              <w:rPr>
                <w:rFonts w:ascii="Arial" w:hAnsi="Arial" w:cs="Arial"/>
                <w:sz w:val="24"/>
                <w:szCs w:val="24"/>
              </w:rPr>
              <w:t xml:space="preserve"> 2018</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Stage One</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Initial Submissions are invited</w:t>
            </w:r>
          </w:p>
          <w:p w:rsidR="00AF50FD" w:rsidRPr="003B3E09" w:rsidRDefault="00AF50FD" w:rsidP="003B3E09">
            <w:pPr>
              <w:rPr>
                <w:rFonts w:ascii="Arial" w:hAnsi="Arial" w:cs="Arial"/>
                <w:sz w:val="24"/>
                <w:szCs w:val="24"/>
              </w:rPr>
            </w:pPr>
          </w:p>
        </w:tc>
        <w:tc>
          <w:tcPr>
            <w:tcW w:w="1430" w:type="dxa"/>
          </w:tcPr>
          <w:p w:rsidR="00AF50FD" w:rsidRPr="003B3E09" w:rsidRDefault="00236F67" w:rsidP="003B3E09">
            <w:pPr>
              <w:rPr>
                <w:rFonts w:ascii="Arial" w:hAnsi="Arial" w:cs="Arial"/>
                <w:sz w:val="24"/>
                <w:szCs w:val="24"/>
              </w:rPr>
            </w:pPr>
            <w:r>
              <w:rPr>
                <w:rFonts w:ascii="Arial" w:hAnsi="Arial" w:cs="Arial"/>
                <w:sz w:val="24"/>
                <w:szCs w:val="24"/>
              </w:rPr>
              <w:t>3</w:t>
            </w:r>
            <w:r w:rsidR="00AF50FD" w:rsidRPr="003B3E09">
              <w:rPr>
                <w:rFonts w:ascii="Arial" w:hAnsi="Arial" w:cs="Arial"/>
                <w:sz w:val="24"/>
                <w:szCs w:val="24"/>
              </w:rPr>
              <w:t xml:space="preserve"> weeks</w:t>
            </w:r>
          </w:p>
          <w:p w:rsidR="00AF50FD" w:rsidRPr="003B3E09" w:rsidRDefault="00AF50FD" w:rsidP="003B3E09">
            <w:pPr>
              <w:rPr>
                <w:rFonts w:ascii="Arial" w:hAnsi="Arial" w:cs="Arial"/>
                <w:sz w:val="24"/>
                <w:szCs w:val="24"/>
              </w:rPr>
            </w:pPr>
          </w:p>
        </w:tc>
        <w:tc>
          <w:tcPr>
            <w:tcW w:w="2197" w:type="dxa"/>
          </w:tcPr>
          <w:p w:rsidR="00AF50FD" w:rsidRPr="003B3E09" w:rsidRDefault="00236F67" w:rsidP="003B3E09">
            <w:pPr>
              <w:rPr>
                <w:rFonts w:ascii="Arial" w:hAnsi="Arial" w:cs="Arial"/>
                <w:sz w:val="24"/>
                <w:szCs w:val="24"/>
              </w:rPr>
            </w:pPr>
            <w:r>
              <w:rPr>
                <w:rFonts w:ascii="Arial" w:hAnsi="Arial" w:cs="Arial"/>
                <w:sz w:val="24"/>
                <w:szCs w:val="24"/>
              </w:rPr>
              <w:t>May</w:t>
            </w:r>
            <w:r w:rsidR="00AF50FD" w:rsidRPr="003B3E09">
              <w:rPr>
                <w:rFonts w:ascii="Arial" w:hAnsi="Arial" w:cs="Arial"/>
                <w:sz w:val="24"/>
                <w:szCs w:val="24"/>
              </w:rPr>
              <w:t xml:space="preserve"> 2018</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Stage Two</w:t>
            </w:r>
          </w:p>
          <w:p w:rsidR="00AF50FD" w:rsidRPr="003B3E09" w:rsidRDefault="00AF50FD" w:rsidP="003B3E09">
            <w:pPr>
              <w:rPr>
                <w:rFonts w:ascii="Arial" w:hAnsi="Arial" w:cs="Arial"/>
                <w:sz w:val="24"/>
                <w:szCs w:val="24"/>
              </w:rPr>
            </w:pPr>
          </w:p>
        </w:tc>
        <w:tc>
          <w:tcPr>
            <w:tcW w:w="3638" w:type="dxa"/>
          </w:tcPr>
          <w:p w:rsidR="00AF50FD" w:rsidRDefault="00AF50FD" w:rsidP="003B3E09">
            <w:pPr>
              <w:rPr>
                <w:rFonts w:ascii="Arial" w:hAnsi="Arial" w:cs="Arial"/>
                <w:sz w:val="24"/>
                <w:szCs w:val="24"/>
              </w:rPr>
            </w:pPr>
            <w:r w:rsidRPr="003B3E09">
              <w:rPr>
                <w:rFonts w:ascii="Arial" w:hAnsi="Arial" w:cs="Arial"/>
                <w:sz w:val="24"/>
                <w:szCs w:val="24"/>
              </w:rPr>
              <w:t>Consideration of Submissions received – Draft recommendations are prepared.</w:t>
            </w:r>
          </w:p>
          <w:p w:rsidR="00AF50FD" w:rsidRPr="003B3E09" w:rsidRDefault="00236F67" w:rsidP="00236F67">
            <w:pPr>
              <w:rPr>
                <w:rFonts w:ascii="Arial" w:hAnsi="Arial" w:cs="Arial"/>
                <w:sz w:val="24"/>
                <w:szCs w:val="24"/>
              </w:rPr>
            </w:pPr>
            <w:r>
              <w:rPr>
                <w:rFonts w:ascii="Arial" w:hAnsi="Arial" w:cs="Arial"/>
                <w:sz w:val="24"/>
                <w:szCs w:val="24"/>
              </w:rPr>
              <w:t>Licensing &amp; Regulatory Committee</w:t>
            </w:r>
          </w:p>
        </w:tc>
        <w:tc>
          <w:tcPr>
            <w:tcW w:w="1430" w:type="dxa"/>
          </w:tcPr>
          <w:p w:rsidR="00AF50FD" w:rsidRPr="003B3E09" w:rsidRDefault="00236F67" w:rsidP="003B3E09">
            <w:pPr>
              <w:rPr>
                <w:rFonts w:ascii="Arial" w:hAnsi="Arial" w:cs="Arial"/>
                <w:sz w:val="24"/>
                <w:szCs w:val="24"/>
              </w:rPr>
            </w:pPr>
            <w:r>
              <w:rPr>
                <w:rFonts w:ascii="Arial" w:hAnsi="Arial" w:cs="Arial"/>
                <w:sz w:val="24"/>
                <w:szCs w:val="24"/>
              </w:rPr>
              <w:t>1</w:t>
            </w:r>
            <w:r w:rsidR="00AF50FD" w:rsidRPr="003B3E09">
              <w:rPr>
                <w:rFonts w:ascii="Arial" w:hAnsi="Arial" w:cs="Arial"/>
                <w:sz w:val="24"/>
                <w:szCs w:val="24"/>
              </w:rPr>
              <w:t xml:space="preserve"> week</w:t>
            </w:r>
          </w:p>
          <w:p w:rsidR="00AF50FD" w:rsidRPr="003B3E09" w:rsidRDefault="00AF50FD" w:rsidP="003B3E09">
            <w:pPr>
              <w:rPr>
                <w:rFonts w:ascii="Arial" w:hAnsi="Arial" w:cs="Arial"/>
                <w:sz w:val="24"/>
                <w:szCs w:val="24"/>
              </w:rPr>
            </w:pPr>
          </w:p>
        </w:tc>
        <w:tc>
          <w:tcPr>
            <w:tcW w:w="2197" w:type="dxa"/>
          </w:tcPr>
          <w:p w:rsidR="00AF50FD" w:rsidRDefault="00AF50FD" w:rsidP="003B3E09">
            <w:pPr>
              <w:rPr>
                <w:rFonts w:ascii="Arial" w:hAnsi="Arial" w:cs="Arial"/>
                <w:sz w:val="24"/>
                <w:szCs w:val="24"/>
              </w:rPr>
            </w:pPr>
            <w:r w:rsidRPr="003B3E09">
              <w:rPr>
                <w:rFonts w:ascii="Arial" w:hAnsi="Arial" w:cs="Arial"/>
                <w:sz w:val="24"/>
                <w:szCs w:val="24"/>
              </w:rPr>
              <w:t>May 2018</w:t>
            </w:r>
          </w:p>
          <w:p w:rsidR="00236F67" w:rsidRDefault="00236F67" w:rsidP="003B3E09">
            <w:pPr>
              <w:rPr>
                <w:rFonts w:ascii="Arial" w:hAnsi="Arial" w:cs="Arial"/>
                <w:sz w:val="24"/>
                <w:szCs w:val="24"/>
              </w:rPr>
            </w:pPr>
          </w:p>
          <w:p w:rsidR="00236F67" w:rsidRDefault="00236F67" w:rsidP="003B3E09">
            <w:pPr>
              <w:rPr>
                <w:rFonts w:ascii="Arial" w:hAnsi="Arial" w:cs="Arial"/>
                <w:sz w:val="24"/>
                <w:szCs w:val="24"/>
              </w:rPr>
            </w:pPr>
          </w:p>
          <w:p w:rsidR="00236F67" w:rsidRPr="003B3E09" w:rsidRDefault="00236F67" w:rsidP="003B3E09">
            <w:pPr>
              <w:rPr>
                <w:rFonts w:ascii="Arial" w:hAnsi="Arial" w:cs="Arial"/>
                <w:sz w:val="24"/>
                <w:szCs w:val="24"/>
              </w:rPr>
            </w:pPr>
            <w:r>
              <w:rPr>
                <w:rFonts w:ascii="Arial" w:hAnsi="Arial" w:cs="Arial"/>
                <w:sz w:val="24"/>
                <w:szCs w:val="24"/>
              </w:rPr>
              <w:t>June 2018</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Stage Three</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 xml:space="preserve">Draft Recommendations, and the reasons for them, informing those with an interest for further consultation are </w:t>
            </w:r>
            <w:r w:rsidR="00236F67">
              <w:rPr>
                <w:rFonts w:ascii="Arial" w:hAnsi="Arial" w:cs="Arial"/>
                <w:sz w:val="24"/>
                <w:szCs w:val="24"/>
              </w:rPr>
              <w:t xml:space="preserve">prepared and </w:t>
            </w:r>
            <w:r w:rsidRPr="003B3E09">
              <w:rPr>
                <w:rFonts w:ascii="Arial" w:hAnsi="Arial" w:cs="Arial"/>
                <w:sz w:val="24"/>
                <w:szCs w:val="24"/>
              </w:rPr>
              <w:t>published.</w:t>
            </w:r>
          </w:p>
          <w:p w:rsidR="00AF50FD" w:rsidRPr="003B3E09" w:rsidRDefault="00AF50FD" w:rsidP="003B3E09">
            <w:pPr>
              <w:rPr>
                <w:rFonts w:ascii="Arial" w:hAnsi="Arial" w:cs="Arial"/>
                <w:sz w:val="24"/>
                <w:szCs w:val="24"/>
              </w:rPr>
            </w:pPr>
          </w:p>
        </w:tc>
        <w:tc>
          <w:tcPr>
            <w:tcW w:w="1430" w:type="dxa"/>
          </w:tcPr>
          <w:p w:rsidR="00AF50FD" w:rsidRPr="003B3E09" w:rsidRDefault="00AF50FD" w:rsidP="003B3E09">
            <w:pPr>
              <w:rPr>
                <w:rFonts w:ascii="Arial" w:hAnsi="Arial" w:cs="Arial"/>
                <w:sz w:val="24"/>
                <w:szCs w:val="24"/>
              </w:rPr>
            </w:pPr>
            <w:r w:rsidRPr="003B3E09">
              <w:rPr>
                <w:rFonts w:ascii="Arial" w:hAnsi="Arial" w:cs="Arial"/>
                <w:sz w:val="24"/>
                <w:szCs w:val="24"/>
              </w:rPr>
              <w:t>8 weeks</w:t>
            </w:r>
          </w:p>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r w:rsidRPr="003B3E09">
              <w:rPr>
                <w:rFonts w:ascii="Arial" w:hAnsi="Arial" w:cs="Arial"/>
                <w:sz w:val="24"/>
                <w:szCs w:val="24"/>
              </w:rPr>
              <w:t xml:space="preserve">June – </w:t>
            </w:r>
            <w:r w:rsidR="00236F67">
              <w:rPr>
                <w:rFonts w:ascii="Arial" w:hAnsi="Arial" w:cs="Arial"/>
                <w:sz w:val="24"/>
                <w:szCs w:val="24"/>
              </w:rPr>
              <w:t>August</w:t>
            </w:r>
            <w:r w:rsidRPr="003B3E09">
              <w:rPr>
                <w:rFonts w:ascii="Arial" w:hAnsi="Arial" w:cs="Arial"/>
                <w:sz w:val="24"/>
                <w:szCs w:val="24"/>
              </w:rPr>
              <w:t xml:space="preserve"> 2018</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Stage Four</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Consideration of submissions received – Final Recommendations are prepared</w:t>
            </w:r>
            <w:bookmarkStart w:id="0" w:name="_GoBack"/>
            <w:bookmarkEnd w:id="0"/>
          </w:p>
        </w:tc>
        <w:tc>
          <w:tcPr>
            <w:tcW w:w="1430" w:type="dxa"/>
          </w:tcPr>
          <w:p w:rsidR="00AF50FD" w:rsidRPr="003B3E09" w:rsidRDefault="00AF50FD" w:rsidP="003B3E09">
            <w:pPr>
              <w:rPr>
                <w:rFonts w:ascii="Arial" w:hAnsi="Arial" w:cs="Arial"/>
                <w:sz w:val="24"/>
                <w:szCs w:val="24"/>
              </w:rPr>
            </w:pPr>
            <w:r w:rsidRPr="003B3E09">
              <w:rPr>
                <w:rFonts w:ascii="Arial" w:hAnsi="Arial" w:cs="Arial"/>
                <w:sz w:val="24"/>
                <w:szCs w:val="24"/>
              </w:rPr>
              <w:t>8 weeks</w:t>
            </w:r>
          </w:p>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r w:rsidRPr="003B3E09">
              <w:rPr>
                <w:rFonts w:ascii="Arial" w:hAnsi="Arial" w:cs="Arial"/>
                <w:sz w:val="24"/>
                <w:szCs w:val="24"/>
              </w:rPr>
              <w:t>August - September</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Conclusion</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Final Recommendations are published – concluding the review</w:t>
            </w:r>
          </w:p>
          <w:p w:rsidR="00AF50FD" w:rsidRPr="003B3E09" w:rsidRDefault="00AF50FD" w:rsidP="003B3E09">
            <w:pPr>
              <w:rPr>
                <w:rFonts w:ascii="Arial" w:hAnsi="Arial" w:cs="Arial"/>
                <w:sz w:val="24"/>
                <w:szCs w:val="24"/>
              </w:rPr>
            </w:pPr>
          </w:p>
        </w:tc>
        <w:tc>
          <w:tcPr>
            <w:tcW w:w="1430" w:type="dxa"/>
          </w:tcPr>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r w:rsidRPr="003B3E09">
              <w:rPr>
                <w:rFonts w:ascii="Arial" w:hAnsi="Arial" w:cs="Arial"/>
                <w:sz w:val="24"/>
                <w:szCs w:val="24"/>
              </w:rPr>
              <w:t>October</w:t>
            </w:r>
          </w:p>
          <w:p w:rsidR="00AF50FD" w:rsidRPr="003B3E09" w:rsidRDefault="00AF50FD" w:rsidP="003B3E09">
            <w:pPr>
              <w:rPr>
                <w:rFonts w:ascii="Arial" w:hAnsi="Arial" w:cs="Arial"/>
                <w:sz w:val="24"/>
                <w:szCs w:val="24"/>
              </w:rPr>
            </w:pPr>
          </w:p>
        </w:tc>
      </w:tr>
      <w:tr w:rsidR="00AF50FD" w:rsidRPr="003B3E09" w:rsidTr="00AF50FD">
        <w:tc>
          <w:tcPr>
            <w:tcW w:w="1977" w:type="dxa"/>
          </w:tcPr>
          <w:p w:rsidR="00AF50FD" w:rsidRPr="003B3E09" w:rsidRDefault="00AF50FD" w:rsidP="003B3E09">
            <w:pPr>
              <w:rPr>
                <w:rFonts w:ascii="Arial" w:hAnsi="Arial" w:cs="Arial"/>
                <w:sz w:val="24"/>
                <w:szCs w:val="24"/>
              </w:rPr>
            </w:pPr>
            <w:r w:rsidRPr="003B3E09">
              <w:rPr>
                <w:rFonts w:ascii="Arial" w:hAnsi="Arial" w:cs="Arial"/>
                <w:sz w:val="24"/>
                <w:szCs w:val="24"/>
              </w:rPr>
              <w:t>Resolution</w:t>
            </w:r>
          </w:p>
          <w:p w:rsidR="00AF50FD" w:rsidRPr="003B3E09" w:rsidRDefault="00AF50FD" w:rsidP="003B3E09">
            <w:pPr>
              <w:rPr>
                <w:rFonts w:ascii="Arial" w:hAnsi="Arial" w:cs="Arial"/>
                <w:sz w:val="24"/>
                <w:szCs w:val="24"/>
              </w:rPr>
            </w:pPr>
          </w:p>
        </w:tc>
        <w:tc>
          <w:tcPr>
            <w:tcW w:w="3638" w:type="dxa"/>
          </w:tcPr>
          <w:p w:rsidR="00AF50FD" w:rsidRPr="003B3E09" w:rsidRDefault="00AF50FD" w:rsidP="003B3E09">
            <w:pPr>
              <w:rPr>
                <w:rFonts w:ascii="Arial" w:hAnsi="Arial" w:cs="Arial"/>
                <w:sz w:val="24"/>
                <w:szCs w:val="24"/>
              </w:rPr>
            </w:pPr>
            <w:r w:rsidRPr="003B3E09">
              <w:rPr>
                <w:rFonts w:ascii="Arial" w:hAnsi="Arial" w:cs="Arial"/>
                <w:sz w:val="24"/>
                <w:szCs w:val="24"/>
              </w:rPr>
              <w:t>Council resolves to make a Reorganisation Order to put into effect any changes</w:t>
            </w:r>
          </w:p>
        </w:tc>
        <w:tc>
          <w:tcPr>
            <w:tcW w:w="1430" w:type="dxa"/>
          </w:tcPr>
          <w:p w:rsidR="00AF50FD" w:rsidRPr="003B3E09" w:rsidRDefault="00AF50FD" w:rsidP="003B3E09">
            <w:pPr>
              <w:rPr>
                <w:rFonts w:ascii="Arial" w:hAnsi="Arial" w:cs="Arial"/>
                <w:sz w:val="24"/>
                <w:szCs w:val="24"/>
              </w:rPr>
            </w:pPr>
            <w:r w:rsidRPr="003B3E09">
              <w:rPr>
                <w:rFonts w:ascii="Arial" w:hAnsi="Arial" w:cs="Arial"/>
                <w:sz w:val="24"/>
                <w:szCs w:val="24"/>
              </w:rPr>
              <w:t>If necessary</w:t>
            </w:r>
          </w:p>
          <w:p w:rsidR="00AF50FD" w:rsidRPr="003B3E09" w:rsidRDefault="00AF50FD" w:rsidP="003B3E09">
            <w:pPr>
              <w:rPr>
                <w:rFonts w:ascii="Arial" w:hAnsi="Arial" w:cs="Arial"/>
                <w:sz w:val="24"/>
                <w:szCs w:val="24"/>
              </w:rPr>
            </w:pPr>
          </w:p>
        </w:tc>
        <w:tc>
          <w:tcPr>
            <w:tcW w:w="2197" w:type="dxa"/>
          </w:tcPr>
          <w:p w:rsidR="00AF50FD" w:rsidRPr="003B3E09" w:rsidRDefault="00AF50FD" w:rsidP="003B3E09">
            <w:pPr>
              <w:rPr>
                <w:rFonts w:ascii="Arial" w:hAnsi="Arial" w:cs="Arial"/>
                <w:sz w:val="24"/>
                <w:szCs w:val="24"/>
              </w:rPr>
            </w:pPr>
            <w:r w:rsidRPr="003B3E09">
              <w:rPr>
                <w:rFonts w:ascii="Arial" w:hAnsi="Arial" w:cs="Arial"/>
                <w:sz w:val="24"/>
                <w:szCs w:val="24"/>
              </w:rPr>
              <w:t>Next available Council Meeting</w:t>
            </w:r>
          </w:p>
          <w:p w:rsidR="00AF50FD" w:rsidRPr="003B3E09" w:rsidRDefault="00AF50FD" w:rsidP="003B3E09">
            <w:pPr>
              <w:rPr>
                <w:rFonts w:ascii="Arial" w:hAnsi="Arial" w:cs="Arial"/>
                <w:sz w:val="24"/>
                <w:szCs w:val="24"/>
              </w:rPr>
            </w:pPr>
          </w:p>
        </w:tc>
      </w:tr>
    </w:tbl>
    <w:p w:rsidR="00AF50FD" w:rsidRPr="003B3E09" w:rsidRDefault="00AF50FD" w:rsidP="003B3E09">
      <w:pPr>
        <w:pStyle w:val="Default"/>
      </w:pPr>
    </w:p>
    <w:p w:rsidR="00AF50FD" w:rsidRDefault="00AF50FD" w:rsidP="00971A9E">
      <w:pPr>
        <w:pStyle w:val="Default"/>
        <w:numPr>
          <w:ilvl w:val="1"/>
          <w:numId w:val="3"/>
        </w:numPr>
        <w:rPr>
          <w:b/>
          <w:bCs/>
        </w:rPr>
      </w:pPr>
      <w:r w:rsidRPr="003B3E09">
        <w:rPr>
          <w:b/>
          <w:bCs/>
        </w:rPr>
        <w:t xml:space="preserve">How will the review be conducted? </w:t>
      </w:r>
    </w:p>
    <w:p w:rsidR="00971A9E" w:rsidRPr="003B3E09" w:rsidRDefault="00971A9E" w:rsidP="00971A9E">
      <w:pPr>
        <w:pStyle w:val="Default"/>
        <w:ind w:left="405"/>
      </w:pPr>
    </w:p>
    <w:p w:rsidR="00AF50FD" w:rsidRDefault="00AF50FD" w:rsidP="003B3E09">
      <w:pPr>
        <w:pStyle w:val="Default"/>
      </w:pPr>
      <w:r w:rsidRPr="003B3E09">
        <w:t xml:space="preserve">The Review will be conducted in accordance with the duties outlined in the Local Government and Public Involvement in Health Act 2007 and Guidance on these reviews </w:t>
      </w:r>
      <w:proofErr w:type="gramStart"/>
      <w:r w:rsidRPr="003B3E09">
        <w:t>published</w:t>
      </w:r>
      <w:proofErr w:type="gramEnd"/>
      <w:r w:rsidRPr="003B3E09">
        <w:t xml:space="preserve"> by the Department for Communities and Local Government in March 2010. </w:t>
      </w:r>
    </w:p>
    <w:p w:rsidR="00BB178A" w:rsidRPr="003B3E09" w:rsidRDefault="00BB178A" w:rsidP="003B3E09">
      <w:pPr>
        <w:pStyle w:val="Default"/>
      </w:pPr>
    </w:p>
    <w:p w:rsidR="00AF50FD" w:rsidRPr="003B3E09" w:rsidRDefault="00AF50FD" w:rsidP="003B3E09">
      <w:pPr>
        <w:pStyle w:val="Default"/>
      </w:pPr>
      <w:r w:rsidRPr="003B3E09">
        <w:t xml:space="preserve">In accordance with Section 79 of the 2007 Act, the City Council will notify Hampshire County Council that a Community Governance Review will be undertaken. </w:t>
      </w:r>
    </w:p>
    <w:p w:rsidR="00AF50FD" w:rsidRPr="003B3E09" w:rsidRDefault="00AF50FD" w:rsidP="003B3E09">
      <w:pPr>
        <w:pStyle w:val="Default"/>
      </w:pPr>
    </w:p>
    <w:p w:rsidR="00AF50FD" w:rsidRPr="003B3E09" w:rsidRDefault="00AF50FD" w:rsidP="003B3E09">
      <w:pPr>
        <w:pStyle w:val="Default"/>
      </w:pPr>
      <w:r w:rsidRPr="003B3E09">
        <w:t xml:space="preserve">In accordance with Section 93 of the 2007 Act, the City Council will consult with local government electors for the area under review; and any other person or body which appears to have an interest in the review. </w:t>
      </w:r>
    </w:p>
    <w:p w:rsidR="00AF50FD" w:rsidRDefault="00AF50FD" w:rsidP="003B3E09">
      <w:pPr>
        <w:pStyle w:val="Default"/>
      </w:pPr>
    </w:p>
    <w:p w:rsidR="003B3E09" w:rsidRPr="00BB178A" w:rsidRDefault="003B3E09" w:rsidP="003B3E09">
      <w:pPr>
        <w:pStyle w:val="Default"/>
      </w:pPr>
      <w:r w:rsidRPr="00BB178A">
        <w:t>In accordance with Section 93 of the 2007 Act, the City Council will also consult with local government electors for the area under review; and any other person or body which appears to have an interest in the review. The bodies include:</w:t>
      </w:r>
    </w:p>
    <w:p w:rsidR="003B3E09" w:rsidRPr="00BB178A" w:rsidRDefault="003B3E09" w:rsidP="003B3E09">
      <w:pPr>
        <w:pStyle w:val="ListParagraph"/>
        <w:numPr>
          <w:ilvl w:val="0"/>
          <w:numId w:val="2"/>
        </w:numPr>
        <w:rPr>
          <w:rFonts w:ascii="Arial" w:hAnsi="Arial" w:cs="Arial"/>
          <w:sz w:val="24"/>
          <w:szCs w:val="24"/>
          <w:lang w:eastAsia="en-GB"/>
        </w:rPr>
      </w:pPr>
      <w:r w:rsidRPr="00BB178A">
        <w:rPr>
          <w:rFonts w:ascii="Arial" w:hAnsi="Arial" w:cs="Arial"/>
          <w:sz w:val="24"/>
          <w:szCs w:val="24"/>
          <w:lang w:eastAsia="en-GB"/>
        </w:rPr>
        <w:t>Littleton &amp; Harestock Parish Council</w:t>
      </w:r>
    </w:p>
    <w:p w:rsidR="003B3E09" w:rsidRPr="00BB178A" w:rsidRDefault="003B3E09" w:rsidP="003B3E09">
      <w:pPr>
        <w:pStyle w:val="ListParagraph"/>
        <w:numPr>
          <w:ilvl w:val="0"/>
          <w:numId w:val="2"/>
        </w:numPr>
        <w:rPr>
          <w:rFonts w:ascii="Arial" w:hAnsi="Arial" w:cs="Arial"/>
          <w:sz w:val="24"/>
          <w:szCs w:val="24"/>
          <w:lang w:eastAsia="en-GB"/>
        </w:rPr>
      </w:pPr>
      <w:r w:rsidRPr="00BB178A">
        <w:rPr>
          <w:rFonts w:ascii="Arial" w:hAnsi="Arial" w:cs="Arial"/>
          <w:sz w:val="24"/>
          <w:szCs w:val="24"/>
          <w:lang w:eastAsia="en-GB"/>
        </w:rPr>
        <w:t>Hampshire County Council</w:t>
      </w:r>
    </w:p>
    <w:p w:rsidR="003B3E09" w:rsidRPr="00BB178A" w:rsidRDefault="003B3E09" w:rsidP="003B3E09">
      <w:pPr>
        <w:pStyle w:val="ListParagraph"/>
        <w:numPr>
          <w:ilvl w:val="0"/>
          <w:numId w:val="2"/>
        </w:numPr>
        <w:rPr>
          <w:rFonts w:ascii="Arial" w:hAnsi="Arial" w:cs="Arial"/>
          <w:sz w:val="24"/>
          <w:szCs w:val="24"/>
          <w:lang w:eastAsia="en-GB"/>
        </w:rPr>
      </w:pPr>
      <w:r w:rsidRPr="00BB178A">
        <w:rPr>
          <w:rFonts w:ascii="Arial" w:hAnsi="Arial" w:cs="Arial"/>
          <w:sz w:val="24"/>
          <w:szCs w:val="24"/>
          <w:lang w:eastAsia="en-GB"/>
        </w:rPr>
        <w:t>Hampshire Association of Local Councils</w:t>
      </w:r>
    </w:p>
    <w:p w:rsidR="003B3E09" w:rsidRPr="00BB178A" w:rsidRDefault="003B3E09" w:rsidP="003B3E09">
      <w:pPr>
        <w:pStyle w:val="ListParagraph"/>
        <w:numPr>
          <w:ilvl w:val="0"/>
          <w:numId w:val="2"/>
        </w:numPr>
        <w:rPr>
          <w:rFonts w:ascii="Arial" w:hAnsi="Arial" w:cs="Arial"/>
          <w:sz w:val="24"/>
          <w:szCs w:val="24"/>
          <w:lang w:eastAsia="en-GB"/>
        </w:rPr>
      </w:pPr>
      <w:r w:rsidRPr="00BB178A">
        <w:rPr>
          <w:rFonts w:ascii="Arial" w:hAnsi="Arial" w:cs="Arial"/>
          <w:sz w:val="24"/>
          <w:szCs w:val="24"/>
          <w:lang w:eastAsia="en-GB"/>
        </w:rPr>
        <w:t xml:space="preserve">The Local Government Boundary Commission for England.  </w:t>
      </w:r>
    </w:p>
    <w:p w:rsidR="003B3E09" w:rsidRPr="00BB178A" w:rsidRDefault="003B3E09" w:rsidP="003B3E09">
      <w:pPr>
        <w:pStyle w:val="Default"/>
      </w:pPr>
      <w:r w:rsidRPr="00BB178A">
        <w:t xml:space="preserve">The consultation will also involve other relevant persons, including political parties and local community interest groups. The City Council will publish these Terms of Reference, any proposals made as a result of the review and any recommendations on its website. </w:t>
      </w:r>
    </w:p>
    <w:p w:rsidR="003B3E09" w:rsidRPr="00BB178A" w:rsidRDefault="003B3E09" w:rsidP="003B3E09">
      <w:pPr>
        <w:pStyle w:val="Default"/>
      </w:pPr>
    </w:p>
    <w:p w:rsidR="003B3E09" w:rsidRPr="00BB178A" w:rsidRDefault="003B3E09" w:rsidP="003B3E09">
      <w:pPr>
        <w:pStyle w:val="Default"/>
      </w:pPr>
      <w:r w:rsidRPr="00BB178A">
        <w:t xml:space="preserve">The City Council will have regard to the need to secure that any community governance for the area under review reflects the identities and interests of the local community in that area and that it is effective and convenient. Relevant considerations will include the impact on community cohesion and the size, population and boundaries of the proposed area. </w:t>
      </w:r>
    </w:p>
    <w:p w:rsidR="003B3E09" w:rsidRPr="003B3E09" w:rsidRDefault="003B3E09" w:rsidP="003B3E09">
      <w:pPr>
        <w:pStyle w:val="Default"/>
      </w:pPr>
    </w:p>
    <w:p w:rsidR="00AF50FD" w:rsidRPr="003B3E09" w:rsidRDefault="00AF50FD" w:rsidP="003B3E09">
      <w:pPr>
        <w:pStyle w:val="Default"/>
      </w:pPr>
    </w:p>
    <w:p w:rsidR="00AF50FD" w:rsidRDefault="00AF50FD" w:rsidP="00971A9E">
      <w:pPr>
        <w:pStyle w:val="Default"/>
        <w:numPr>
          <w:ilvl w:val="1"/>
          <w:numId w:val="3"/>
        </w:numPr>
        <w:rPr>
          <w:b/>
          <w:bCs/>
        </w:rPr>
      </w:pPr>
      <w:r w:rsidRPr="003B3E09">
        <w:rPr>
          <w:b/>
          <w:bCs/>
        </w:rPr>
        <w:t xml:space="preserve">Options for Consideration </w:t>
      </w:r>
    </w:p>
    <w:p w:rsidR="00971A9E" w:rsidRPr="003B3E09" w:rsidRDefault="00971A9E" w:rsidP="00971A9E">
      <w:pPr>
        <w:pStyle w:val="Default"/>
        <w:ind w:left="405"/>
      </w:pPr>
    </w:p>
    <w:p w:rsidR="00AF50FD" w:rsidRPr="003B3E09" w:rsidRDefault="00AF50FD" w:rsidP="000F0817">
      <w:pPr>
        <w:pStyle w:val="Default"/>
        <w:spacing w:before="120"/>
      </w:pPr>
      <w:r w:rsidRPr="003B3E09">
        <w:t xml:space="preserve">The City Council has prepared three possible outcomes to be put forward for consultation; </w:t>
      </w:r>
    </w:p>
    <w:p w:rsidR="00AF50FD" w:rsidRPr="003B3E09" w:rsidRDefault="00AF50FD" w:rsidP="000F0817">
      <w:pPr>
        <w:pStyle w:val="Default"/>
        <w:numPr>
          <w:ilvl w:val="0"/>
          <w:numId w:val="1"/>
        </w:numPr>
        <w:spacing w:before="120" w:after="120"/>
        <w:ind w:left="714" w:hanging="357"/>
      </w:pPr>
      <w:r w:rsidRPr="003B3E09">
        <w:rPr>
          <w:b/>
          <w:bCs/>
        </w:rPr>
        <w:t>Option 1</w:t>
      </w:r>
      <w:r w:rsidRPr="003B3E09">
        <w:t xml:space="preserve">: Position to remain unchanged and the Parish Council remains as it is. </w:t>
      </w:r>
    </w:p>
    <w:p w:rsidR="00AF50FD" w:rsidRPr="003B3E09" w:rsidRDefault="00AF50FD" w:rsidP="000F0817">
      <w:pPr>
        <w:pStyle w:val="Default"/>
        <w:numPr>
          <w:ilvl w:val="0"/>
          <w:numId w:val="1"/>
        </w:numPr>
        <w:spacing w:before="120" w:after="120"/>
        <w:ind w:left="714" w:hanging="357"/>
      </w:pPr>
      <w:r w:rsidRPr="003B3E09">
        <w:rPr>
          <w:b/>
          <w:bCs/>
        </w:rPr>
        <w:t>Option 2</w:t>
      </w:r>
      <w:r w:rsidRPr="003B3E09">
        <w:t xml:space="preserve">: Littleton and Harestock separate and each become their own Parish Council. </w:t>
      </w:r>
    </w:p>
    <w:p w:rsidR="00AF50FD" w:rsidRPr="003B3E09" w:rsidRDefault="00AF50FD" w:rsidP="000F0817">
      <w:pPr>
        <w:pStyle w:val="Default"/>
        <w:numPr>
          <w:ilvl w:val="0"/>
          <w:numId w:val="1"/>
        </w:numPr>
        <w:spacing w:before="120" w:after="120"/>
        <w:ind w:left="714" w:hanging="357"/>
      </w:pPr>
      <w:r w:rsidRPr="003B3E09">
        <w:rPr>
          <w:b/>
          <w:bCs/>
        </w:rPr>
        <w:t>Option 3</w:t>
      </w:r>
      <w:r w:rsidRPr="003B3E09">
        <w:t xml:space="preserve">: Littleton and Harestock separate. Littleton becomes its own Parish Council and Harestock joins the area of Winchester Town. </w:t>
      </w:r>
    </w:p>
    <w:p w:rsidR="00AF50FD" w:rsidRPr="003B3E09" w:rsidRDefault="00AF50FD" w:rsidP="003B3E09">
      <w:pPr>
        <w:pStyle w:val="Default"/>
        <w:rPr>
          <w:b/>
          <w:bCs/>
        </w:rPr>
      </w:pPr>
    </w:p>
    <w:p w:rsidR="00971A9E" w:rsidRDefault="00971A9E" w:rsidP="00971A9E">
      <w:pPr>
        <w:pStyle w:val="Default"/>
        <w:rPr>
          <w:b/>
          <w:bCs/>
        </w:rPr>
      </w:pPr>
      <w:r>
        <w:rPr>
          <w:noProof/>
          <w:lang w:eastAsia="en-GB"/>
        </w:rPr>
        <w:lastRenderedPageBreak/>
        <w:drawing>
          <wp:inline distT="0" distB="0" distL="0" distR="0">
            <wp:extent cx="3009900" cy="4253285"/>
            <wp:effectExtent l="0" t="0" r="0" b="0"/>
            <wp:docPr id="1" name="Picture 1" descr="C:\Users\pbrown\AppData\Local\Microsoft\Windows\Temporary Internet Files\Content.Word\Littleton and Harestock Parish Option 1 Feb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own\AppData\Local\Microsoft\Windows\Temporary Internet Files\Content.Word\Littleton and Harestock Parish Option 1 Feb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0208" cy="4253720"/>
                    </a:xfrm>
                    <a:prstGeom prst="rect">
                      <a:avLst/>
                    </a:prstGeom>
                    <a:noFill/>
                    <a:ln>
                      <a:noFill/>
                    </a:ln>
                  </pic:spPr>
                </pic:pic>
              </a:graphicData>
            </a:graphic>
          </wp:inline>
        </w:drawing>
      </w:r>
      <w:r w:rsidRPr="00971A9E">
        <w:t xml:space="preserve"> </w:t>
      </w:r>
      <w:r>
        <w:rPr>
          <w:noProof/>
          <w:lang w:eastAsia="en-GB"/>
        </w:rPr>
        <w:drawing>
          <wp:inline distT="0" distB="0" distL="0" distR="0">
            <wp:extent cx="3019425" cy="4266744"/>
            <wp:effectExtent l="0" t="0" r="0" b="635"/>
            <wp:docPr id="2" name="Picture 2" descr="C:\Users\pbrown\AppData\Local\Microsoft\Windows\Temporary Internet Files\Content.Word\Littleton and Harestock Parish Option 2 Feb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own\AppData\Local\Microsoft\Windows\Temporary Internet Files\Content.Word\Littleton and Harestock Parish Option 2 Feb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881" cy="4270214"/>
                    </a:xfrm>
                    <a:prstGeom prst="rect">
                      <a:avLst/>
                    </a:prstGeom>
                    <a:noFill/>
                    <a:ln>
                      <a:noFill/>
                    </a:ln>
                  </pic:spPr>
                </pic:pic>
              </a:graphicData>
            </a:graphic>
          </wp:inline>
        </w:drawing>
      </w:r>
    </w:p>
    <w:p w:rsidR="00971A9E" w:rsidRDefault="00971A9E" w:rsidP="003B3E09">
      <w:pPr>
        <w:pStyle w:val="Default"/>
        <w:rPr>
          <w:b/>
          <w:bCs/>
        </w:rPr>
      </w:pPr>
    </w:p>
    <w:p w:rsidR="00971A9E" w:rsidRDefault="00971A9E" w:rsidP="003B3E09">
      <w:pPr>
        <w:pStyle w:val="Default"/>
        <w:rPr>
          <w:b/>
          <w:bCs/>
        </w:rPr>
      </w:pPr>
      <w:r>
        <w:rPr>
          <w:noProof/>
          <w:lang w:eastAsia="en-GB"/>
        </w:rPr>
        <w:drawing>
          <wp:inline distT="0" distB="0" distL="0" distR="0">
            <wp:extent cx="3165118" cy="4472622"/>
            <wp:effectExtent l="0" t="0" r="0" b="4445"/>
            <wp:docPr id="3" name="Picture 3" descr="C:\Users\pbrown\AppData\Local\Microsoft\Windows\Temporary Internet Files\Content.Word\Littleton and Harestock Parish Option 3 Feb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brown\AppData\Local\Microsoft\Windows\Temporary Internet Files\Content.Word\Littleton and Harestock Parish Option 3 Feb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611" cy="4474731"/>
                    </a:xfrm>
                    <a:prstGeom prst="rect">
                      <a:avLst/>
                    </a:prstGeom>
                    <a:noFill/>
                    <a:ln>
                      <a:noFill/>
                    </a:ln>
                  </pic:spPr>
                </pic:pic>
              </a:graphicData>
            </a:graphic>
          </wp:inline>
        </w:drawing>
      </w:r>
    </w:p>
    <w:p w:rsidR="00971A9E" w:rsidRDefault="00971A9E" w:rsidP="003B3E09">
      <w:pPr>
        <w:pStyle w:val="Default"/>
        <w:rPr>
          <w:b/>
          <w:bCs/>
        </w:rPr>
      </w:pPr>
    </w:p>
    <w:p w:rsidR="00971A9E" w:rsidRDefault="00971A9E" w:rsidP="003B3E09">
      <w:pPr>
        <w:pStyle w:val="Default"/>
        <w:rPr>
          <w:b/>
          <w:bCs/>
        </w:rPr>
      </w:pPr>
    </w:p>
    <w:p w:rsidR="00AF50FD" w:rsidRDefault="00AF50FD" w:rsidP="00971A9E">
      <w:pPr>
        <w:pStyle w:val="Default"/>
        <w:numPr>
          <w:ilvl w:val="1"/>
          <w:numId w:val="3"/>
        </w:numPr>
        <w:rPr>
          <w:b/>
          <w:bCs/>
        </w:rPr>
      </w:pPr>
      <w:r w:rsidRPr="003B3E09">
        <w:rPr>
          <w:b/>
          <w:bCs/>
        </w:rPr>
        <w:t xml:space="preserve">The conclusions for the Review </w:t>
      </w:r>
    </w:p>
    <w:p w:rsidR="00971A9E" w:rsidRDefault="00971A9E" w:rsidP="00971A9E">
      <w:pPr>
        <w:pStyle w:val="Default"/>
        <w:ind w:left="405"/>
        <w:rPr>
          <w:b/>
          <w:bCs/>
        </w:rPr>
      </w:pPr>
    </w:p>
    <w:p w:rsidR="00AF50FD" w:rsidRDefault="00AF50FD" w:rsidP="003B3E09">
      <w:pPr>
        <w:spacing w:after="0" w:line="240" w:lineRule="auto"/>
        <w:rPr>
          <w:rFonts w:ascii="Arial" w:hAnsi="Arial" w:cs="Arial"/>
          <w:sz w:val="24"/>
          <w:szCs w:val="24"/>
        </w:rPr>
      </w:pPr>
      <w:r w:rsidRPr="003B3E09">
        <w:rPr>
          <w:rFonts w:ascii="Arial" w:hAnsi="Arial" w:cs="Arial"/>
          <w:sz w:val="24"/>
          <w:szCs w:val="24"/>
        </w:rPr>
        <w:t>Following the conclusion of the review, if a new Parish or other Council is to be created, or if there is an amalgamation this will be done by way of a Reorganisation Order. A Reorganisation Order can b</w:t>
      </w:r>
      <w:r w:rsidR="003B3E09">
        <w:rPr>
          <w:rFonts w:ascii="Arial" w:hAnsi="Arial" w:cs="Arial"/>
          <w:sz w:val="24"/>
          <w:szCs w:val="24"/>
        </w:rPr>
        <w:t>e made at any time however the O</w:t>
      </w:r>
      <w:r w:rsidRPr="003B3E09">
        <w:rPr>
          <w:rFonts w:ascii="Arial" w:hAnsi="Arial" w:cs="Arial"/>
          <w:sz w:val="24"/>
          <w:szCs w:val="24"/>
        </w:rPr>
        <w:t>rder should take effect on the 1st of April following the date on which it is made. In this case if a Reorganisation Order is made</w:t>
      </w:r>
      <w:r w:rsidR="00487674">
        <w:rPr>
          <w:rFonts w:ascii="Arial" w:hAnsi="Arial" w:cs="Arial"/>
          <w:sz w:val="24"/>
          <w:szCs w:val="24"/>
        </w:rPr>
        <w:t xml:space="preserve"> in the </w:t>
      </w:r>
      <w:proofErr w:type="gramStart"/>
      <w:r w:rsidR="00487674">
        <w:rPr>
          <w:rFonts w:ascii="Arial" w:hAnsi="Arial" w:cs="Arial"/>
          <w:sz w:val="24"/>
          <w:szCs w:val="24"/>
        </w:rPr>
        <w:t>Autumn</w:t>
      </w:r>
      <w:proofErr w:type="gramEnd"/>
      <w:r w:rsidR="00487674">
        <w:rPr>
          <w:rFonts w:ascii="Arial" w:hAnsi="Arial" w:cs="Arial"/>
          <w:sz w:val="24"/>
          <w:szCs w:val="24"/>
        </w:rPr>
        <w:t xml:space="preserve"> of 2</w:t>
      </w:r>
      <w:r w:rsidR="003B3E09">
        <w:rPr>
          <w:rFonts w:ascii="Arial" w:hAnsi="Arial" w:cs="Arial"/>
          <w:sz w:val="24"/>
          <w:szCs w:val="24"/>
        </w:rPr>
        <w:t>0</w:t>
      </w:r>
      <w:r w:rsidR="00487674">
        <w:rPr>
          <w:rFonts w:ascii="Arial" w:hAnsi="Arial" w:cs="Arial"/>
          <w:sz w:val="24"/>
          <w:szCs w:val="24"/>
        </w:rPr>
        <w:t>1</w:t>
      </w:r>
      <w:r w:rsidR="003B3E09">
        <w:rPr>
          <w:rFonts w:ascii="Arial" w:hAnsi="Arial" w:cs="Arial"/>
          <w:sz w:val="24"/>
          <w:szCs w:val="24"/>
        </w:rPr>
        <w:t>8, it would</w:t>
      </w:r>
      <w:r w:rsidRPr="003B3E09">
        <w:rPr>
          <w:rFonts w:ascii="Arial" w:hAnsi="Arial" w:cs="Arial"/>
          <w:sz w:val="24"/>
          <w:szCs w:val="24"/>
        </w:rPr>
        <w:t xml:space="preserve"> come into effect 1st April 2019.</w:t>
      </w:r>
    </w:p>
    <w:p w:rsidR="003B3E09" w:rsidRDefault="003B3E09" w:rsidP="003B3E09">
      <w:pPr>
        <w:spacing w:after="0" w:line="240" w:lineRule="auto"/>
        <w:rPr>
          <w:rFonts w:ascii="Arial" w:hAnsi="Arial" w:cs="Arial"/>
          <w:sz w:val="24"/>
          <w:szCs w:val="24"/>
        </w:rPr>
      </w:pPr>
    </w:p>
    <w:p w:rsidR="003B3E09" w:rsidRPr="00971A9E" w:rsidRDefault="003B3E09" w:rsidP="00971A9E">
      <w:pPr>
        <w:pStyle w:val="ListParagraph"/>
        <w:numPr>
          <w:ilvl w:val="1"/>
          <w:numId w:val="3"/>
        </w:numPr>
        <w:spacing w:after="0" w:line="240" w:lineRule="auto"/>
        <w:rPr>
          <w:rFonts w:ascii="Arial" w:hAnsi="Arial" w:cs="Arial"/>
          <w:b/>
          <w:sz w:val="24"/>
          <w:szCs w:val="24"/>
        </w:rPr>
      </w:pPr>
      <w:r w:rsidRPr="00971A9E">
        <w:rPr>
          <w:rFonts w:ascii="Arial" w:hAnsi="Arial" w:cs="Arial"/>
          <w:b/>
          <w:sz w:val="24"/>
          <w:szCs w:val="24"/>
        </w:rPr>
        <w:t>Contact</w:t>
      </w:r>
    </w:p>
    <w:p w:rsidR="00971A9E" w:rsidRPr="00971A9E" w:rsidRDefault="00971A9E" w:rsidP="00971A9E">
      <w:pPr>
        <w:pStyle w:val="ListParagraph"/>
        <w:spacing w:after="0" w:line="240" w:lineRule="auto"/>
        <w:ind w:left="405"/>
        <w:rPr>
          <w:rFonts w:ascii="Arial" w:hAnsi="Arial" w:cs="Arial"/>
          <w:b/>
          <w:sz w:val="24"/>
          <w:szCs w:val="24"/>
        </w:rPr>
      </w:pPr>
    </w:p>
    <w:p w:rsidR="003B3E09" w:rsidRPr="003B3E09" w:rsidRDefault="003B3E09" w:rsidP="003B3E09">
      <w:pPr>
        <w:spacing w:after="0" w:line="240" w:lineRule="auto"/>
        <w:rPr>
          <w:rFonts w:ascii="Arial" w:hAnsi="Arial" w:cs="Arial"/>
          <w:b/>
          <w:sz w:val="24"/>
          <w:szCs w:val="24"/>
        </w:rPr>
      </w:pPr>
      <w:r w:rsidRPr="003B3E09">
        <w:rPr>
          <w:rFonts w:ascii="Arial" w:hAnsi="Arial" w:cs="Arial"/>
          <w:sz w:val="24"/>
          <w:szCs w:val="24"/>
        </w:rPr>
        <w:t>A</w:t>
      </w:r>
      <w:r>
        <w:rPr>
          <w:rFonts w:ascii="Arial" w:hAnsi="Arial" w:cs="Arial"/>
          <w:sz w:val="24"/>
          <w:szCs w:val="24"/>
        </w:rPr>
        <w:t xml:space="preserve">ny queries in respect of this review process should be directed to Winchester City Council.  Please contact via </w:t>
      </w:r>
      <w:hyperlink r:id="rId10" w:history="1">
        <w:r w:rsidRPr="00901577">
          <w:rPr>
            <w:rStyle w:val="Hyperlink"/>
            <w:rFonts w:ascii="Arial" w:hAnsi="Arial" w:cs="Arial"/>
            <w:sz w:val="24"/>
            <w:szCs w:val="24"/>
          </w:rPr>
          <w:t>communitygovernancereview@winchester.gov.uk</w:t>
        </w:r>
      </w:hyperlink>
      <w:r>
        <w:rPr>
          <w:rFonts w:ascii="Arial" w:hAnsi="Arial" w:cs="Arial"/>
          <w:sz w:val="24"/>
          <w:szCs w:val="24"/>
        </w:rPr>
        <w:t xml:space="preserve"> </w:t>
      </w:r>
    </w:p>
    <w:p w:rsidR="00EE414F" w:rsidRPr="003B3E09" w:rsidRDefault="00EE414F" w:rsidP="00AF50FD">
      <w:pPr>
        <w:rPr>
          <w:rFonts w:ascii="Arial" w:hAnsi="Arial" w:cs="Arial"/>
          <w:sz w:val="24"/>
          <w:szCs w:val="24"/>
        </w:rPr>
      </w:pPr>
    </w:p>
    <w:p w:rsidR="00EE414F" w:rsidRPr="003B3E09" w:rsidRDefault="00EE414F" w:rsidP="00EE414F">
      <w:pPr>
        <w:rPr>
          <w:rFonts w:ascii="Arial" w:hAnsi="Arial" w:cs="Arial"/>
          <w:sz w:val="24"/>
          <w:szCs w:val="24"/>
        </w:rPr>
      </w:pPr>
    </w:p>
    <w:p w:rsidR="00EE414F" w:rsidRDefault="00EE414F" w:rsidP="00EE414F"/>
    <w:p w:rsidR="00EE414F" w:rsidRDefault="00EE414F" w:rsidP="00EE414F"/>
    <w:p w:rsidR="00EE414F" w:rsidRDefault="00EE414F" w:rsidP="00EE414F"/>
    <w:p w:rsidR="00EE414F" w:rsidRDefault="00EE414F" w:rsidP="00EE414F"/>
    <w:p w:rsidR="00EE414F" w:rsidRDefault="00EE414F" w:rsidP="00EE414F"/>
    <w:p w:rsidR="00971A9E" w:rsidRDefault="00971A9E" w:rsidP="00EE414F"/>
    <w:p w:rsidR="00EE414F" w:rsidRDefault="00EE414F" w:rsidP="00EE414F"/>
    <w:p w:rsidR="00EE414F" w:rsidRDefault="00EE414F" w:rsidP="00EE414F"/>
    <w:p w:rsidR="00EE414F" w:rsidRDefault="00EE414F" w:rsidP="00EE414F"/>
    <w:p w:rsidR="00EE414F" w:rsidRDefault="00EE414F" w:rsidP="00EE414F"/>
    <w:p w:rsidR="00EE414F" w:rsidRDefault="00EE414F" w:rsidP="00EE414F"/>
    <w:p w:rsidR="000F0817" w:rsidRDefault="000F0817" w:rsidP="00EE414F"/>
    <w:p w:rsidR="000F0817" w:rsidRDefault="000F0817" w:rsidP="00EE414F"/>
    <w:p w:rsidR="00EE414F" w:rsidRDefault="00EE414F" w:rsidP="00EE414F">
      <w:r>
        <w:rPr>
          <w:noProof/>
          <w:lang w:eastAsia="en-GB"/>
        </w:rPr>
        <w:drawing>
          <wp:anchor distT="0" distB="0" distL="114300" distR="114300" simplePos="0" relativeHeight="251659264" behindDoc="1" locked="0" layoutInCell="1" allowOverlap="1" wp14:anchorId="13F0C86F" wp14:editId="17460825">
            <wp:simplePos x="0" y="0"/>
            <wp:positionH relativeFrom="column">
              <wp:posOffset>1624330</wp:posOffset>
            </wp:positionH>
            <wp:positionV relativeFrom="paragraph">
              <wp:posOffset>68580</wp:posOffset>
            </wp:positionV>
            <wp:extent cx="2453005" cy="70358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rotWithShape="1">
                    <a:blip r:embed="rId11" cstate="print">
                      <a:extLst>
                        <a:ext uri="{28A0092B-C50C-407E-A947-70E740481C1C}">
                          <a14:useLocalDpi xmlns:a14="http://schemas.microsoft.com/office/drawing/2010/main" val="0"/>
                        </a:ext>
                      </a:extLst>
                    </a:blip>
                    <a:srcRect l="12611" t="18848"/>
                    <a:stretch/>
                  </pic:blipFill>
                  <pic:spPr bwMode="auto">
                    <a:xfrm>
                      <a:off x="0" y="0"/>
                      <a:ext cx="2453005" cy="70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414F" w:rsidRDefault="00EE414F" w:rsidP="00EE414F"/>
    <w:p w:rsidR="00EE414F" w:rsidRDefault="00EE414F" w:rsidP="00EE414F"/>
    <w:p w:rsidR="00EE414F" w:rsidRDefault="00EE414F" w:rsidP="00EE414F">
      <w:pPr>
        <w:jc w:val="center"/>
      </w:pPr>
      <w:r>
        <w:t>City Offices, Colebrook Street, Winchester, Hampshire, SO23 9LJ</w:t>
      </w:r>
    </w:p>
    <w:p w:rsidR="00EE414F" w:rsidRPr="00AF50FD" w:rsidRDefault="00BB178A" w:rsidP="000F0817">
      <w:pPr>
        <w:jc w:val="center"/>
        <w:rPr>
          <w:rFonts w:ascii="Arial" w:hAnsi="Arial" w:cs="Arial"/>
        </w:rPr>
      </w:pPr>
      <w:r>
        <w:t>March</w:t>
      </w:r>
      <w:r w:rsidR="00EE414F">
        <w:t xml:space="preserve"> 2018</w:t>
      </w:r>
    </w:p>
    <w:sectPr w:rsidR="00EE414F" w:rsidRPr="00AF50FD" w:rsidSect="000F0817">
      <w:pgSz w:w="11906" w:h="16838"/>
      <w:pgMar w:top="1276"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92F"/>
    <w:multiLevelType w:val="multilevel"/>
    <w:tmpl w:val="F2FC31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AC04DA1"/>
    <w:multiLevelType w:val="hybridMultilevel"/>
    <w:tmpl w:val="BBBE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8506A4"/>
    <w:multiLevelType w:val="hybridMultilevel"/>
    <w:tmpl w:val="E85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FD"/>
    <w:rsid w:val="000F0817"/>
    <w:rsid w:val="00236F67"/>
    <w:rsid w:val="003B3E09"/>
    <w:rsid w:val="00487674"/>
    <w:rsid w:val="00596AFA"/>
    <w:rsid w:val="005C7B97"/>
    <w:rsid w:val="0069389B"/>
    <w:rsid w:val="00834709"/>
    <w:rsid w:val="00841F15"/>
    <w:rsid w:val="00971A9E"/>
    <w:rsid w:val="00973BA5"/>
    <w:rsid w:val="00AF50FD"/>
    <w:rsid w:val="00BB178A"/>
    <w:rsid w:val="00EE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0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4F"/>
    <w:rPr>
      <w:rFonts w:ascii="Tahoma" w:hAnsi="Tahoma" w:cs="Tahoma"/>
      <w:sz w:val="16"/>
      <w:szCs w:val="16"/>
    </w:rPr>
  </w:style>
  <w:style w:type="character" w:styleId="Hyperlink">
    <w:name w:val="Hyperlink"/>
    <w:basedOn w:val="DefaultParagraphFont"/>
    <w:uiPriority w:val="99"/>
    <w:unhideWhenUsed/>
    <w:rsid w:val="003B3E09"/>
    <w:rPr>
      <w:color w:val="0000FF" w:themeColor="hyperlink"/>
      <w:u w:val="single"/>
    </w:rPr>
  </w:style>
  <w:style w:type="paragraph" w:styleId="ListParagraph">
    <w:name w:val="List Paragraph"/>
    <w:basedOn w:val="Normal"/>
    <w:uiPriority w:val="34"/>
    <w:qFormat/>
    <w:rsid w:val="003B3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0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4F"/>
    <w:rPr>
      <w:rFonts w:ascii="Tahoma" w:hAnsi="Tahoma" w:cs="Tahoma"/>
      <w:sz w:val="16"/>
      <w:szCs w:val="16"/>
    </w:rPr>
  </w:style>
  <w:style w:type="character" w:styleId="Hyperlink">
    <w:name w:val="Hyperlink"/>
    <w:basedOn w:val="DefaultParagraphFont"/>
    <w:uiPriority w:val="99"/>
    <w:unhideWhenUsed/>
    <w:rsid w:val="003B3E09"/>
    <w:rPr>
      <w:color w:val="0000FF" w:themeColor="hyperlink"/>
      <w:u w:val="single"/>
    </w:rPr>
  </w:style>
  <w:style w:type="paragraph" w:styleId="ListParagraph">
    <w:name w:val="List Paragraph"/>
    <w:basedOn w:val="Normal"/>
    <w:uiPriority w:val="34"/>
    <w:qFormat/>
    <w:rsid w:val="003B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hyperlink" Target="mailto:communitygovernancereview@winchester.gov.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Brown</dc:creator>
  <cp:lastModifiedBy>Peter Brown</cp:lastModifiedBy>
  <cp:revision>9</cp:revision>
  <dcterms:created xsi:type="dcterms:W3CDTF">2018-02-26T17:50:00Z</dcterms:created>
  <dcterms:modified xsi:type="dcterms:W3CDTF">2018-04-11T13:10:00Z</dcterms:modified>
</cp:coreProperties>
</file>